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hint="eastAsia" w:ascii="黑体" w:hAnsi="黑体" w:eastAsia="黑体"/>
          <w:sz w:val="32"/>
          <w:szCs w:val="32"/>
        </w:rPr>
      </w:pPr>
      <w:r>
        <w:rPr>
          <w:rFonts w:hint="eastAsia" w:ascii="黑体" w:hAnsi="黑体" w:eastAsia="黑体"/>
          <w:sz w:val="32"/>
          <w:szCs w:val="32"/>
        </w:rPr>
        <w:t>附件2</w:t>
      </w:r>
    </w:p>
    <w:p>
      <w:pPr>
        <w:widowControl/>
        <w:spacing w:line="560" w:lineRule="exact"/>
        <w:jc w:val="center"/>
        <w:rPr>
          <w:rFonts w:hint="eastAsia" w:ascii="黑体" w:hAnsi="黑体" w:eastAsia="黑体"/>
          <w:sz w:val="32"/>
          <w:szCs w:val="32"/>
        </w:rPr>
      </w:pPr>
    </w:p>
    <w:p>
      <w:pPr>
        <w:spacing w:line="560" w:lineRule="exact"/>
        <w:jc w:val="center"/>
        <w:rPr>
          <w:rFonts w:ascii="方正小标宋简体" w:hAnsi="Calibri" w:eastAsia="方正小标宋简体"/>
          <w:sz w:val="44"/>
          <w:szCs w:val="32"/>
        </w:rPr>
      </w:pPr>
      <w:r>
        <w:rPr>
          <w:rFonts w:hint="eastAsia" w:ascii="方正小标宋简体" w:hAnsi="Calibri" w:eastAsia="方正小标宋简体"/>
          <w:sz w:val="44"/>
          <w:szCs w:val="32"/>
        </w:rPr>
        <w:t>不符合规定项目的小知识</w:t>
      </w:r>
    </w:p>
    <w:p>
      <w:pPr>
        <w:spacing w:line="560" w:lineRule="exact"/>
        <w:jc w:val="center"/>
        <w:rPr>
          <w:rFonts w:ascii="方正小标宋简体" w:hAnsi="Calibri" w:eastAsia="方正小标宋简体"/>
          <w:sz w:val="44"/>
          <w:szCs w:val="32"/>
        </w:rPr>
      </w:pPr>
    </w:p>
    <w:p>
      <w:pPr>
        <w:overflowPunct w:val="0"/>
        <w:spacing w:line="540" w:lineRule="exact"/>
        <w:rPr>
          <w:rFonts w:eastAsia="仿宋_GB2312"/>
          <w:sz w:val="32"/>
          <w:szCs w:val="32"/>
        </w:rPr>
      </w:pPr>
      <w:r>
        <w:rPr>
          <w:rFonts w:eastAsia="仿宋_GB2312"/>
          <w:sz w:val="32"/>
          <w:szCs w:val="32"/>
        </w:rPr>
        <w:t>一、中药饮片性状项不符合规定，可能涉及药材种属偏差、炮制工艺有瑕疵、储存不当等情形。药材发霉情况多为储存不当造成的</w:t>
      </w:r>
      <w:r>
        <w:rPr>
          <w:rFonts w:hint="eastAsia" w:eastAsia="仿宋_GB2312"/>
          <w:sz w:val="32"/>
          <w:szCs w:val="32"/>
        </w:rPr>
        <w:t>。</w:t>
      </w:r>
    </w:p>
    <w:p>
      <w:pPr>
        <w:overflowPunct w:val="0"/>
        <w:spacing w:line="540" w:lineRule="exact"/>
        <w:rPr>
          <w:rFonts w:eastAsia="仿宋_GB2312"/>
          <w:sz w:val="32"/>
          <w:szCs w:val="32"/>
        </w:rPr>
      </w:pPr>
      <w:r>
        <w:rPr>
          <w:rFonts w:eastAsia="仿宋_GB2312"/>
          <w:sz w:val="32"/>
          <w:szCs w:val="32"/>
        </w:rPr>
        <w:t>二、中药饮片含量测定系指用规定的试验方法测定中药饮片中有效成分的含量，一般可采用化学、仪器或生物测定方法。</w:t>
      </w:r>
    </w:p>
    <w:p>
      <w:pPr>
        <w:overflowPunct w:val="0"/>
        <w:spacing w:line="540" w:lineRule="exact"/>
        <w:rPr>
          <w:rFonts w:eastAsia="仿宋_GB2312"/>
          <w:sz w:val="32"/>
          <w:szCs w:val="32"/>
        </w:rPr>
      </w:pPr>
      <w:r>
        <w:rPr>
          <w:rFonts w:eastAsia="仿宋_GB2312"/>
          <w:sz w:val="32"/>
          <w:szCs w:val="32"/>
        </w:rPr>
        <w:t>三、微生物限度系对非直接进入人体内环境的药物制剂的微生物控制要求</w:t>
      </w:r>
      <w:r>
        <w:rPr>
          <w:rFonts w:hint="eastAsia" w:eastAsia="仿宋_GB2312"/>
          <w:sz w:val="32"/>
          <w:szCs w:val="32"/>
        </w:rPr>
        <w:t>，</w:t>
      </w:r>
      <w:r>
        <w:rPr>
          <w:rFonts w:eastAsia="仿宋_GB2312"/>
          <w:sz w:val="32"/>
          <w:szCs w:val="32"/>
        </w:rPr>
        <w:t>分为计数检查和控制菌检查两部</w:t>
      </w:r>
      <w:r>
        <w:rPr>
          <w:rFonts w:hint="eastAsia" w:eastAsia="仿宋_GB2312"/>
          <w:sz w:val="32"/>
          <w:szCs w:val="32"/>
        </w:rPr>
        <w:t>分。</w:t>
      </w:r>
      <w:bookmarkStart w:id="0" w:name="_GoBack"/>
      <w:bookmarkEnd w:id="0"/>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2EE"/>
    <w:rsid w:val="00146240"/>
    <w:rsid w:val="003E4CD5"/>
    <w:rsid w:val="00423E9F"/>
    <w:rsid w:val="0090133E"/>
    <w:rsid w:val="00BB12EE"/>
    <w:rsid w:val="00D67046"/>
    <w:rsid w:val="00E3479C"/>
    <w:rsid w:val="00ED426B"/>
    <w:rsid w:val="00F66FB2"/>
    <w:rsid w:val="4D1BA2DA"/>
    <w:rsid w:val="5DFB7759"/>
    <w:rsid w:val="5FCB85E1"/>
    <w:rsid w:val="7BBF8146"/>
    <w:rsid w:val="DFDAB7E7"/>
    <w:rsid w:val="E9EFE8D3"/>
    <w:rsid w:val="F7FB8551"/>
    <w:rsid w:val="FF1EA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4">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Strong"/>
    <w:basedOn w:val="4"/>
    <w:qFormat/>
    <w:uiPriority w:val="22"/>
    <w:rPr>
      <w:b/>
      <w:bCs/>
    </w:rPr>
  </w:style>
  <w:style w:type="character" w:styleId="6">
    <w:name w:val="Emphasis"/>
    <w:basedOn w:val="4"/>
    <w:qFormat/>
    <w:uiPriority w:val="20"/>
    <w:rPr>
      <w:i/>
      <w:iCs/>
    </w:rPr>
  </w:style>
  <w:style w:type="character" w:customStyle="1" w:styleId="7">
    <w:name w:val="标题 1 字符"/>
    <w:basedOn w:val="4"/>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Words>
  <Characters>231</Characters>
  <Lines>1</Lines>
  <Paragraphs>1</Paragraphs>
  <TotalTime>3</TotalTime>
  <ScaleCrop>false</ScaleCrop>
  <LinksUpToDate>false</LinksUpToDate>
  <CharactersWithSpaces>270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2026-02-13T04:57:00Z</dcterms:created>
  <dc:creator>pc</dc:creator>
  <cp:lastModifiedBy>uos</cp:lastModifiedBy>
  <cp:lastPrinted>2025-03-19T03:18:00Z</cp:lastPrinted>
  <dcterms:modified xsi:type="dcterms:W3CDTF">2026-02-13T16:10:30Z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